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A4A8F" w:color="auto" w:val="clear"/>
        <w:spacing w:after="0" w:before="0"/>
        <w:jc w:val="center"/>
      </w:pPr>
      <w:r>
        <w:rPr>
          <w:b/>
          <w:bCs/>
          <w:color w:val="FFFFFF"/>
          <w:sz w:val="36"/>
          <w:szCs w:val="36"/>
        </w:rPr>
        <w:t xml:space="preserve">Analyse IA — Appel d'offre</w:t>
      </w:r>
    </w:p>
    <w:p>
      <w:pPr>
        <w:shd w:fill="1A4A8F" w:color="auto" w:val="clear"/>
        <w:spacing w:after="0" w:before="0"/>
        <w:jc w:val="center"/>
      </w:pPr>
      <w:r>
        <w:rPr>
          <w:color w:val="DDDDDD"/>
          <w:sz w:val="22"/>
          <w:szCs w:val="22"/>
        </w:rPr>
        <w:t xml:space="preserve">Transport, traitement et valorisation des mâchefers produits par les UVE de Saint-Ouen L’Etoile Verte et d’Ivry Paris XIII</w:t>
      </w:r>
    </w:p>
    <w:p>
      <w:pPr>
        <w:shd w:fill="1A4A8F" w:color="auto" w:val="clear"/>
        <w:spacing w:after="200" w:before="0"/>
        <w:jc w:val="center"/>
      </w:pPr>
      <w:r>
        <w:rPr>
          <w:color w:val="DDDDDD"/>
          <w:sz w:val="18"/>
          <w:szCs w:val="18"/>
        </w:rPr>
        <w:t xml:space="preserve">01/06/2026</w:t>
      </w:r>
    </w:p>
    <w:p>
      <w:pPr>
        <w:shd w:fill="1A4A8F" w:color="auto" w:val="clear"/>
        <w:spacing w:after="100" w:before="280"/>
      </w:pPr>
      <w:r>
        <w:rPr>
          <w:b/>
          <w:bCs/>
          <w:color w:val="FFFFFF"/>
          <w:sz w:val="24"/>
          <w:szCs w:val="24"/>
        </w:rPr>
        <w:t xml:space="preserve">Résumé</w:t>
      </w:r>
    </w:p>
    <w:p>
      <w:pPr>
        <w:spacing w:after="200" w:before="80"/>
        <w:ind w:left="160" w:right="160"/>
      </w:pPr>
      <w:r>
        <w:rPr>
          <w:i w:val="false"/>
          <w:iCs w:val="false"/>
          <w:color w:val="333333"/>
          <w:sz w:val="20"/>
          <w:szCs w:val="20"/>
        </w:rPr>
        <w:t xml:space="preserve">Le marché concerne le transport, le traitement et la valorisation des mâchefers produits par les Unités de Valorisation Énergétique (UVE) de Saint-Ouen L’Étoile Verte et d’Ivry Paris XIII. Il est lancé par le SYCTOM, l'agence métropolitaine des déchets ménagers, et porte sur des prestations intégrées incluant le transport fluvial et routier, la maturation, l'élaboration, l'extraction des métaux, et leur valorisation. La procédure est un appel d'offres ouvert (AOO) sans allotissement, avec un accord-cadre multi-attributaires pour une durée initiale d'un an reconductible jusqu'à 4 ans. La date limite de remise des offres est fixée au 07/07/2026.</w:t>
      </w:r>
    </w:p>
    <w:p>
      <w:pPr>
        <w:shd w:fill="1A4A8F" w:color="auto" w:val="clear"/>
        <w:spacing w:after="100" w:before="280"/>
      </w:pPr>
      <w:r>
        <w:rPr>
          <w:b/>
          <w:bCs/>
          <w:color w:val="FFFFFF"/>
          <w:sz w:val="24"/>
          <w:szCs w:val="24"/>
        </w:rPr>
        <w:t xml:space="preserve">1. Identification du marché</w:t>
      </w:r>
    </w:p>
    <w:p>
      <w:pPr>
        <w:spacing w:after="20" w:before="100"/>
        <w:ind w:left="160"/>
      </w:pPr>
      <w:r>
        <w:rPr>
          <w:b/>
          <w:bCs/>
          <w:color w:val="1A4A8F"/>
          <w:sz w:val="18"/>
          <w:szCs w:val="18"/>
        </w:rPr>
        <w:t xml:space="preserve">Objet du marché :</w:t>
      </w:r>
    </w:p>
    <w:p>
      <w:pPr>
        <w:spacing w:after="80" w:before="0"/>
        <w:ind w:left="320"/>
      </w:pPr>
      <w:r>
        <w:rPr>
          <w:b w:val="false"/>
          <w:bCs w:val="false"/>
          <w:color w:val="333333"/>
          <w:sz w:val="18"/>
          <w:szCs w:val="18"/>
        </w:rPr>
        <w:t xml:space="preserve">Transport, traitement et valorisation des mâchefers produits par les UVE de Saint-Ouen L’Étoile Verte et d’Ivry Paris XIII, incluant le transport fluvial et routier, la maturation, l'élaboration, l'extraction des métaux ferreux et non ferreux, leur valorisation, et la traçabilité des opérations. « Transport, traitement et valorisation des mâchefers produits par les UVE de Saint-Ouen L’Etoile Verte et d’Ivry Paris XIII l’Interval » (Notice) et « prestations de transport, de traitement et de valorisation des mâchefers » (RC).</w:t>
      </w:r>
    </w:p>
    <w:p>
      <w:pPr>
        <w:spacing w:after="20" w:before="100"/>
        <w:ind w:left="160"/>
      </w:pPr>
      <w:r>
        <w:rPr>
          <w:b/>
          <w:bCs/>
          <w:color w:val="1A4A8F"/>
          <w:sz w:val="18"/>
          <w:szCs w:val="18"/>
        </w:rPr>
        <w:t xml:space="preserve">Acheteur :</w:t>
      </w:r>
    </w:p>
    <w:p>
      <w:pPr>
        <w:spacing w:after="80" w:before="0"/>
        <w:ind w:left="320"/>
      </w:pPr>
      <w:r>
        <w:rPr>
          <w:b w:val="false"/>
          <w:bCs w:val="false"/>
          <w:color w:val="333333"/>
          <w:sz w:val="18"/>
          <w:szCs w:val="18"/>
        </w:rPr>
        <w:t xml:space="preserve">SYCTOM, Agence métropolitaine des déchets ménagers</w:t>
      </w:r>
    </w:p>
    <w:p>
      <w:pPr>
        <w:spacing w:after="20" w:before="100"/>
        <w:ind w:left="160"/>
      </w:pPr>
      <w:r>
        <w:rPr>
          <w:b/>
          <w:bCs/>
          <w:color w:val="1A4A8F"/>
          <w:sz w:val="18"/>
          <w:szCs w:val="18"/>
        </w:rPr>
        <w:t xml:space="preserve">Type d'acheteur :</w:t>
      </w:r>
    </w:p>
    <w:p>
      <w:pPr>
        <w:spacing w:after="80" w:before="0"/>
        <w:ind w:left="320"/>
      </w:pPr>
      <w:r>
        <w:rPr>
          <w:b w:val="false"/>
          <w:bCs w:val="false"/>
          <w:color w:val="333333"/>
          <w:sz w:val="18"/>
          <w:szCs w:val="18"/>
        </w:rPr>
        <w:t xml:space="preserve">Établissement public</w:t>
      </w:r>
    </w:p>
    <w:p>
      <w:pPr>
        <w:spacing w:after="20" w:before="100"/>
        <w:ind w:left="160"/>
      </w:pPr>
      <w:r>
        <w:rPr>
          <w:b/>
          <w:bCs/>
          <w:color w:val="1A4A8F"/>
          <w:sz w:val="18"/>
          <w:szCs w:val="18"/>
        </w:rPr>
        <w:t xml:space="preserve">Localisation :</w:t>
      </w:r>
    </w:p>
    <w:p>
      <w:pPr>
        <w:spacing w:after="80" w:before="0"/>
        <w:ind w:left="320"/>
      </w:pPr>
      <w:r>
        <w:rPr>
          <w:b w:val="false"/>
          <w:bCs w:val="false"/>
          <w:color w:val="333333"/>
          <w:sz w:val="18"/>
          <w:szCs w:val="18"/>
        </w:rPr>
        <w:t xml:space="preserve">Région Île-de-France, départements de Paris (75) et Seine-Saint-Denis (93), sites d'exécution : UVE de Saint-Ouen et Ivry Paris XIII, installation de maturation et élaboration (IME) du titulaire.</w:t>
      </w:r>
    </w:p>
    <w:p>
      <w:pPr>
        <w:spacing w:after="40"/>
      </w:pPr>
    </w:p>
    <w:p>
      <w:pPr>
        <w:shd w:fill="1A4A8F" w:color="auto" w:val="clear"/>
        <w:spacing w:after="100" w:before="280"/>
      </w:pPr>
      <w:r>
        <w:rPr>
          <w:b/>
          <w:bCs/>
          <w:color w:val="FFFFFF"/>
          <w:sz w:val="24"/>
          <w:szCs w:val="24"/>
        </w:rPr>
        <w:t xml:space="preserve">2. Forme et structure du contrat</w:t>
      </w:r>
    </w:p>
    <w:p>
      <w:pPr>
        <w:spacing w:after="20" w:before="100"/>
        <w:ind w:left="160"/>
      </w:pPr>
      <w:r>
        <w:rPr>
          <w:b/>
          <w:bCs/>
          <w:color w:val="1A4A8F"/>
          <w:sz w:val="18"/>
          <w:szCs w:val="18"/>
        </w:rPr>
        <w:t xml:space="preserve">Type de procédure :</w:t>
      </w:r>
    </w:p>
    <w:p>
      <w:pPr>
        <w:spacing w:after="80" w:before="0"/>
        <w:ind w:left="320"/>
      </w:pPr>
      <w:r>
        <w:rPr>
          <w:b w:val="false"/>
          <w:bCs w:val="false"/>
          <w:color w:val="333333"/>
          <w:sz w:val="18"/>
          <w:szCs w:val="18"/>
        </w:rPr>
        <w:t xml:space="preserve">Appel d'offres ouvert (AOO) « Appel d'offres ouvert » (DUME) et « Articles L2124-2 et R2124-2 du Code de la Commande Publique » (RC).</w:t>
      </w:r>
    </w:p>
    <w:p>
      <w:pPr>
        <w:spacing w:after="20" w:before="100"/>
        <w:ind w:left="160"/>
      </w:pPr>
      <w:r>
        <w:rPr>
          <w:b/>
          <w:bCs/>
          <w:color w:val="1A4A8F"/>
          <w:sz w:val="18"/>
          <w:szCs w:val="18"/>
        </w:rPr>
        <w:t xml:space="preserve">Forme du marché :</w:t>
      </w:r>
    </w:p>
    <w:p>
      <w:pPr>
        <w:spacing w:after="80" w:before="0"/>
        <w:ind w:left="320"/>
      </w:pPr>
      <w:r>
        <w:rPr>
          <w:b w:val="false"/>
          <w:bCs w:val="false"/>
          <w:color w:val="333333"/>
          <w:sz w:val="18"/>
          <w:szCs w:val="18"/>
        </w:rPr>
        <w:t xml:space="preserve">Accord-cadre multi-attributaires fractionné à bons de commande « accord-cadre multi-attributaires, fractionné à bons de commande conformément aux articles R2162-4, R2162-13 et R2162-14 du même code » (RC).</w:t>
      </w:r>
    </w:p>
    <w:p>
      <w:pPr>
        <w:spacing w:after="20" w:before="100"/>
        <w:ind w:left="160"/>
      </w:pPr>
      <w:r>
        <w:rPr>
          <w:b/>
          <w:bCs/>
          <w:color w:val="1A4A8F"/>
          <w:sz w:val="18"/>
          <w:szCs w:val="18"/>
        </w:rPr>
        <w:t xml:space="preserve">Mono / multi-attributaire :</w:t>
      </w:r>
    </w:p>
    <w:p>
      <w:pPr>
        <w:spacing w:after="80" w:before="0"/>
        <w:ind w:left="320"/>
      </w:pPr>
      <w:r>
        <w:rPr>
          <w:b w:val="false"/>
          <w:bCs w:val="false"/>
          <w:color w:val="333333"/>
          <w:sz w:val="18"/>
          <w:szCs w:val="18"/>
        </w:rPr>
        <w:t xml:space="preserve">Multi-attributaires (3 au maximum) « L'accord-cadre sera attribué à plusieurs opérateurs économiques : trois (3) au maximum » (RC).</w:t>
      </w:r>
    </w:p>
    <w:p>
      <w:pPr>
        <w:spacing w:after="20" w:before="100"/>
        <w:ind w:left="160"/>
      </w:pPr>
      <w:r>
        <w:rPr>
          <w:b/>
          <w:bCs/>
          <w:color w:val="1A4A8F"/>
          <w:sz w:val="18"/>
          <w:szCs w:val="18"/>
        </w:rPr>
        <w:t xml:space="preserve">Nombre de lots :</w:t>
      </w:r>
    </w:p>
    <w:p>
      <w:pPr>
        <w:spacing w:after="80" w:before="0"/>
        <w:ind w:left="320"/>
      </w:pPr>
      <w:r>
        <w:rPr>
          <w:b w:val="false"/>
          <w:bCs w:val="false"/>
          <w:color w:val="333333"/>
          <w:sz w:val="18"/>
          <w:szCs w:val="18"/>
        </w:rPr>
        <w:t xml:space="preserve">Non alloti « ce dernier a fait le choix de ne pas procéder à l'allotissement du marché » (RC).</w:t>
      </w:r>
    </w:p>
    <w:p>
      <w:pPr>
        <w:spacing w:after="20" w:before="100"/>
        <w:ind w:left="160"/>
      </w:pPr>
      <w:r>
        <w:rPr>
          <w:b/>
          <w:bCs/>
          <w:color w:val="1A4A8F"/>
          <w:sz w:val="18"/>
          <w:szCs w:val="18"/>
        </w:rPr>
        <w:t xml:space="preserve">Contenu des lots :</w:t>
      </w:r>
    </w:p>
    <w:p>
      <w:pPr>
        <w:spacing w:after="80" w:before="0"/>
        <w:ind w:left="320"/>
      </w:pPr>
      <w:r>
        <w:rPr>
          <w:i/>
          <w:iCs/>
          <w:color w:val="AAAAAA"/>
          <w:sz w:val="18"/>
          <w:szCs w:val="18"/>
        </w:rPr>
        <w:t xml:space="preserve">Non trouvé ou non disponible</w:t>
      </w:r>
    </w:p>
    <w:p>
      <w:pPr>
        <w:spacing w:after="20" w:before="100"/>
        <w:ind w:left="160"/>
      </w:pPr>
      <w:r>
        <w:rPr>
          <w:b/>
          <w:bCs/>
          <w:color w:val="1A4A8F"/>
          <w:sz w:val="18"/>
          <w:szCs w:val="18"/>
        </w:rPr>
        <w:t xml:space="preserve">Répondre à un seul lot :</w:t>
      </w:r>
    </w:p>
    <w:p>
      <w:pPr>
        <w:spacing w:after="80" w:before="0"/>
        <w:ind w:left="320"/>
      </w:pPr>
      <w:r>
        <w:rPr>
          <w:b w:val="false"/>
          <w:bCs w:val="false"/>
          <w:color w:val="333333"/>
          <w:sz w:val="18"/>
          <w:szCs w:val="18"/>
        </w:rPr>
        <w:t xml:space="preserve">Non applicable (pas d'allotissement)</w:t>
      </w:r>
    </w:p>
    <w:p>
      <w:pPr>
        <w:spacing w:after="40"/>
      </w:pPr>
    </w:p>
    <w:p>
      <w:pPr>
        <w:shd w:fill="1A4A8F" w:color="auto" w:val="clear"/>
        <w:spacing w:after="100" w:before="280"/>
      </w:pPr>
      <w:r>
        <w:rPr>
          <w:b/>
          <w:bCs/>
          <w:color w:val="FFFFFF"/>
          <w:sz w:val="24"/>
          <w:szCs w:val="24"/>
        </w:rPr>
        <w:t xml:space="preserve">3. Durée et calendrier</w:t>
      </w:r>
    </w:p>
    <w:p>
      <w:pPr>
        <w:spacing w:after="20" w:before="100"/>
        <w:ind w:left="160"/>
      </w:pPr>
      <w:r>
        <w:rPr>
          <w:b/>
          <w:bCs/>
          <w:color w:val="1A4A8F"/>
          <w:sz w:val="18"/>
          <w:szCs w:val="18"/>
        </w:rPr>
        <w:t xml:space="preserve">Durée totale :</w:t>
      </w:r>
    </w:p>
    <w:p>
      <w:pPr>
        <w:spacing w:after="80" w:before="0"/>
        <w:ind w:left="320"/>
      </w:pPr>
      <w:r>
        <w:rPr>
          <w:b w:val="false"/>
          <w:bCs w:val="false"/>
          <w:color w:val="333333"/>
          <w:sz w:val="18"/>
          <w:szCs w:val="18"/>
        </w:rPr>
        <w:t xml:space="preserve">Durée initiale de 1 an reconductible jusqu'à 3 fois (durée maximale de 4 ans) « L'accord-cadre sera conclu pour une durée ferme de 1 an reconductible au maximum 3 fois par période de 1 an » (RC).</w:t>
      </w:r>
    </w:p>
    <w:p>
      <w:pPr>
        <w:spacing w:after="20" w:before="100"/>
        <w:ind w:left="160"/>
      </w:pPr>
      <w:r>
        <w:rPr>
          <w:b/>
          <w:bCs/>
          <w:color w:val="1A4A8F"/>
          <w:sz w:val="18"/>
          <w:szCs w:val="18"/>
        </w:rPr>
        <w:t xml:space="preserve">Date de démarrage :</w:t>
      </w:r>
    </w:p>
    <w:p>
      <w:pPr>
        <w:spacing w:after="80" w:before="0"/>
        <w:ind w:left="320"/>
      </w:pPr>
      <w:r>
        <w:rPr>
          <w:i/>
          <w:iCs/>
          <w:color w:val="AAAAAA"/>
          <w:sz w:val="18"/>
          <w:szCs w:val="18"/>
        </w:rPr>
        <w:t xml:space="preserve">Non trouvé ou non disponible</w:t>
      </w:r>
    </w:p>
    <w:p>
      <w:pPr>
        <w:spacing w:after="20" w:before="100"/>
        <w:ind w:left="160"/>
      </w:pPr>
      <w:r>
        <w:rPr>
          <w:b/>
          <w:bCs/>
          <w:color w:val="1A4A8F"/>
          <w:sz w:val="18"/>
          <w:szCs w:val="18"/>
        </w:rPr>
        <w:t xml:space="preserve">Date de fin :</w:t>
      </w:r>
    </w:p>
    <w:p>
      <w:pPr>
        <w:spacing w:after="80" w:before="0"/>
        <w:ind w:left="320"/>
      </w:pPr>
      <w:r>
        <w:rPr>
          <w:i/>
          <w:iCs/>
          <w:color w:val="AAAAAA"/>
          <w:sz w:val="18"/>
          <w:szCs w:val="18"/>
        </w:rPr>
        <w:t xml:space="preserve">Non trouvé ou non disponible</w:t>
      </w:r>
    </w:p>
    <w:p>
      <w:pPr>
        <w:spacing w:after="20" w:before="100"/>
        <w:ind w:left="160"/>
      </w:pPr>
      <w:r>
        <w:rPr>
          <w:b/>
          <w:bCs/>
          <w:color w:val="1A4A8F"/>
          <w:sz w:val="18"/>
          <w:szCs w:val="18"/>
        </w:rPr>
        <w:t xml:space="preserve">Reconductions :</w:t>
      </w:r>
    </w:p>
    <w:p>
      <w:pPr>
        <w:spacing w:after="80" w:before="0"/>
        <w:ind w:left="320"/>
      </w:pPr>
      <w:r>
        <w:rPr>
          <w:b w:val="false"/>
          <w:bCs w:val="false"/>
          <w:color w:val="333333"/>
          <w:sz w:val="18"/>
          <w:szCs w:val="18"/>
        </w:rPr>
        <w:t xml:space="preserve">Tacite, sous réserve de non-résiliation par l'acheteur « Si l'acheteur ne souhaite pas reconduire le marché, il en informe les titulaires de façon expresse par lettre recommandée avec accusé de réception au plus tard 3 mois avant les dates anniversaires de notification du présent marché » (RC).</w:t>
      </w:r>
    </w:p>
    <w:p>
      <w:pPr>
        <w:spacing w:after="20" w:before="100"/>
        <w:ind w:left="160"/>
      </w:pPr>
      <w:r>
        <w:rPr>
          <w:b/>
          <w:bCs/>
          <w:color w:val="1A4A8F"/>
          <w:sz w:val="18"/>
          <w:szCs w:val="18"/>
        </w:rPr>
        <w:t xml:space="preserve">Date limite des offres :</w:t>
      </w:r>
    </w:p>
    <w:p>
      <w:pPr>
        <w:spacing w:after="80" w:before="0"/>
        <w:ind w:left="320"/>
      </w:pPr>
      <w:r>
        <w:rPr>
          <w:b w:val="false"/>
          <w:bCs w:val="false"/>
          <w:color w:val="333333"/>
          <w:sz w:val="18"/>
          <w:szCs w:val="18"/>
        </w:rPr>
        <w:t xml:space="preserve">07/07/2026</w:t>
      </w:r>
    </w:p>
    <w:p>
      <w:pPr>
        <w:spacing w:after="20" w:before="100"/>
        <w:ind w:left="160"/>
      </w:pPr>
      <w:r>
        <w:rPr>
          <w:b/>
          <w:bCs/>
          <w:color w:val="1A4A8F"/>
          <w:sz w:val="18"/>
          <w:szCs w:val="18"/>
        </w:rPr>
        <w:t xml:space="preserve">Jours pour répondre :</w:t>
      </w:r>
    </w:p>
    <w:p>
      <w:pPr>
        <w:spacing w:after="80" w:before="0"/>
        <w:ind w:left="320"/>
      </w:pPr>
      <w:r>
        <w:rPr>
          <w:b w:val="false"/>
          <w:bCs w:val="false"/>
          <w:color w:val="333333"/>
          <w:sz w:val="18"/>
          <w:szCs w:val="18"/>
        </w:rPr>
        <w:t xml:space="preserve">36 jours à partir de la date de publication (01/06/2026) « Date: 01/06/2026 » (DUME) et « Date limite de réception des plis : 07/07/2026 » (RC).</w:t>
      </w:r>
    </w:p>
    <w:p>
      <w:pPr>
        <w:spacing w:after="20" w:before="100"/>
        <w:ind w:left="160"/>
      </w:pPr>
      <w:r>
        <w:rPr>
          <w:b/>
          <w:bCs/>
          <w:color w:val="1A4A8F"/>
          <w:sz w:val="18"/>
          <w:szCs w:val="18"/>
        </w:rPr>
        <w:t xml:space="preserve">Date limite questions :</w:t>
      </w:r>
    </w:p>
    <w:p>
      <w:pPr>
        <w:spacing w:after="80" w:before="0"/>
        <w:ind w:left="320"/>
      </w:pPr>
      <w:r>
        <w:rPr>
          <w:b w:val="false"/>
          <w:bCs w:val="false"/>
          <w:color w:val="333333"/>
          <w:sz w:val="18"/>
          <w:szCs w:val="18"/>
        </w:rPr>
        <w:t xml:space="preserve">10 jours avant la date limite de remise des offres, soit le 27/06/2026 « au plus tard 10 jours avant la date de remise des offres » (RC).</w:t>
      </w:r>
    </w:p>
    <w:p>
      <w:pPr>
        <w:spacing w:after="20" w:before="100"/>
        <w:ind w:left="160"/>
      </w:pPr>
      <w:r>
        <w:rPr>
          <w:b/>
          <w:bCs/>
          <w:color w:val="1A4A8F"/>
          <w:sz w:val="18"/>
          <w:szCs w:val="18"/>
        </w:rPr>
        <w:t xml:space="preserve">Visite :</w:t>
      </w:r>
    </w:p>
    <w:p>
      <w:pPr>
        <w:spacing w:after="80" w:before="0"/>
        <w:ind w:left="320"/>
      </w:pPr>
      <w:r>
        <w:rPr>
          <w:b w:val="false"/>
          <w:bCs w:val="false"/>
          <w:color w:val="333333"/>
          <w:sz w:val="18"/>
          <w:szCs w:val="18"/>
        </w:rPr>
        <w:t xml:space="preserve">Visite facultative avec modalités spécifiques « La consultation prévoit des visites facultatives. Elles devront avoir lieu au plus tard 10 jours avant la DLRO [...] Pour l'organiser, les candidats prendront contact, a minima dans un délai de 72h avant ladite visite, par mail avec contact crespin@sytom-paris.fr et secretariatdgaevd@sytom-paris.fr copie : lerasle@sytom-paris.fr » (RC).</w:t>
      </w:r>
    </w:p>
    <w:p>
      <w:pPr>
        <w:spacing w:after="40"/>
      </w:pPr>
    </w:p>
    <w:p>
      <w:pPr>
        <w:shd w:fill="1A4A8F" w:color="auto" w:val="clear"/>
        <w:spacing w:after="100" w:before="280"/>
      </w:pPr>
      <w:r>
        <w:rPr>
          <w:b/>
          <w:bCs/>
          <w:color w:val="FFFFFF"/>
          <w:sz w:val="24"/>
          <w:szCs w:val="24"/>
        </w:rPr>
        <w:t xml:space="preserve">4. Périmètre technique du besoin</w:t>
      </w:r>
    </w:p>
    <w:p>
      <w:pPr>
        <w:spacing w:after="20" w:before="100"/>
        <w:ind w:left="160"/>
      </w:pPr>
      <w:r>
        <w:rPr>
          <w:b/>
          <w:bCs/>
          <w:color w:val="1A4A8F"/>
          <w:sz w:val="18"/>
          <w:szCs w:val="18"/>
        </w:rPr>
        <w:t xml:space="preserve">Type de prestation :</w:t>
      </w:r>
    </w:p>
    <w:p>
      <w:pPr>
        <w:spacing w:after="80" w:before="0"/>
        <w:ind w:left="320"/>
      </w:pPr>
      <w:r>
        <w:rPr>
          <w:b w:val="false"/>
          <w:bCs w:val="false"/>
          <w:color w:val="333333"/>
          <w:sz w:val="18"/>
          <w:szCs w:val="18"/>
        </w:rPr>
        <w:t xml:space="preserve">Services « Catégorie principale : Services » (Notice) et « MARCHE PUBLIC DE SERVICES » (RC).</w:t>
      </w:r>
    </w:p>
    <w:p>
      <w:pPr>
        <w:spacing w:after="20" w:before="100"/>
        <w:ind w:left="160"/>
      </w:pPr>
      <w:r>
        <w:rPr>
          <w:b/>
          <w:bCs/>
          <w:color w:val="1A4A8F"/>
          <w:sz w:val="18"/>
          <w:szCs w:val="18"/>
        </w:rPr>
        <w:t xml:space="preserve">Scope opérationnel :</w:t>
      </w:r>
    </w:p>
    <w:p>
      <w:pPr>
        <w:spacing w:after="80" w:before="0"/>
        <w:ind w:left="320"/>
      </w:pPr>
      <w:r>
        <w:rPr>
          <w:b w:val="false"/>
          <w:bCs w:val="false"/>
          <w:color w:val="333333"/>
          <w:sz w:val="18"/>
          <w:szCs w:val="18"/>
        </w:rPr>
        <w:t xml:space="preserve">Transport fluvial et routier, brouettage, réception, maturation, élaboration, extraction des métaux ferreux et non ferreux, valorisation, traçabilité, analyses réglementaires, traitement des imbrûlés et mâchefers non valorisables, collaboration aux contrôles. « Transport, traitement et valorisation des mâchefers [...] incluant : Transport fluvial des mâchefers [...] Traitement (maturation et l'élaboration) des mâchefers [...] Extraction des métaux ferreux et non ferreux [...] Valorisation des mâchefers maturés et élaborés [...] La traçabilité du transport, du traitement et de valorisation des mâchefers [...] Le traitement des imbrulés et des éventuels mâchefers non valorisables » (RC).</w:t>
      </w:r>
    </w:p>
    <w:p>
      <w:pPr>
        <w:spacing w:after="20" w:before="100"/>
        <w:ind w:left="160"/>
      </w:pPr>
      <w:r>
        <w:rPr>
          <w:b/>
          <w:bCs/>
          <w:color w:val="1A4A8F"/>
          <w:sz w:val="18"/>
          <w:szCs w:val="18"/>
        </w:rPr>
        <w:t xml:space="preserve">Nombre de sites :</w:t>
      </w:r>
    </w:p>
    <w:p>
      <w:pPr>
        <w:spacing w:after="80" w:before="0"/>
        <w:ind w:left="320"/>
      </w:pPr>
      <w:r>
        <w:rPr>
          <w:b w:val="false"/>
          <w:bCs w:val="false"/>
          <w:color w:val="333333"/>
          <w:sz w:val="18"/>
          <w:szCs w:val="18"/>
        </w:rPr>
        <w:t xml:space="preserve">2 sites de production (UVE de Saint-Ouen et Ivry Paris XIII) et 1 site de traitement (IME du titulaire) « mâchefers produits par les UVE de Saint-Ouen L’Etoile Verte et d’Ivry Paris XIII » (Notice) et « Réception des mâchefers produits sur l'installation de maturation et élaboration (IME) du titulaire » (RC).</w:t>
      </w:r>
    </w:p>
    <w:p>
      <w:pPr>
        <w:spacing w:after="20" w:before="100"/>
        <w:ind w:left="160"/>
      </w:pPr>
      <w:r>
        <w:rPr>
          <w:b/>
          <w:bCs/>
          <w:color w:val="1A4A8F"/>
          <w:sz w:val="18"/>
          <w:szCs w:val="18"/>
        </w:rPr>
        <w:t xml:space="preserve">Volumes / Quantités :</w:t>
      </w:r>
    </w:p>
    <w:p>
      <w:pPr>
        <w:spacing w:after="80" w:before="0"/>
        <w:ind w:left="320"/>
      </w:pPr>
      <w:r>
        <w:rPr>
          <w:b w:val="false"/>
          <w:bCs w:val="false"/>
          <w:color w:val="333333"/>
          <w:sz w:val="18"/>
          <w:szCs w:val="18"/>
        </w:rPr>
        <w:t xml:space="preserve">Maximum de 157 500 tonnes par période annuelle, tous attributaires confondus, soit 630 000 tonnes sur la durée totale du marché « 157 500 tonnes par période annuelle, tous attributaires confondus, soit 630 000 tonnes sur la durée totale du marché pour l'ensemble des attributaires » (RC).</w:t>
      </w:r>
    </w:p>
    <w:p>
      <w:pPr>
        <w:spacing w:after="20" w:before="100"/>
        <w:ind w:left="160"/>
      </w:pPr>
      <w:r>
        <w:rPr>
          <w:b/>
          <w:bCs/>
          <w:color w:val="1A4A8F"/>
          <w:sz w:val="18"/>
          <w:szCs w:val="18"/>
        </w:rPr>
        <w:t xml:space="preserve">Métriques clés :</w:t>
      </w:r>
    </w:p>
    <w:p>
      <w:pPr>
        <w:spacing w:after="20" w:before="0"/>
        <w:ind w:left="320"/>
      </w:pPr>
      <w:r>
        <w:rPr>
          <w:b w:val="false"/>
          <w:bCs w:val="false"/>
          <w:color w:val="333333"/>
          <w:sz w:val="18"/>
          <w:szCs w:val="18"/>
        </w:rPr>
        <w:t xml:space="preserve">157 500 tonnes par période annuelle (maximum)</w:t>
      </w:r>
    </w:p>
    <w:p>
      <w:pPr>
        <w:spacing w:after="20" w:before="0"/>
        <w:ind w:left="320"/>
      </w:pPr>
      <w:r>
        <w:rPr>
          <w:b w:val="false"/>
          <w:bCs w:val="false"/>
          <w:color w:val="333333"/>
          <w:sz w:val="18"/>
          <w:szCs w:val="18"/>
        </w:rPr>
        <w:t xml:space="preserve">630 000 tonnes sur la durée totale du marché (maximum)</w:t>
      </w:r>
    </w:p>
    <w:p>
      <w:pPr>
        <w:spacing w:after="80" w:before="0"/>
        <w:ind w:left="320"/>
      </w:pPr>
      <w:r>
        <w:rPr>
          <w:b w:val="false"/>
          <w:bCs w:val="false"/>
          <w:color w:val="333333"/>
          <w:sz w:val="18"/>
          <w:szCs w:val="18"/>
        </w:rPr>
        <w:t xml:space="preserve">Taux de transport fluvial garanti (critère d'évaluation) « Engagement du taux transport fluvial garanti » (RC, critère B.1).</w:t>
      </w:r>
    </w:p>
    <w:p>
      <w:pPr>
        <w:spacing w:after="20" w:before="100"/>
        <w:ind w:left="160"/>
      </w:pPr>
      <w:r>
        <w:rPr>
          <w:b/>
          <w:bCs/>
          <w:color w:val="1A4A8F"/>
          <w:sz w:val="18"/>
          <w:szCs w:val="18"/>
        </w:rPr>
        <w:t xml:space="preserve">Contraintes d'exécution :</w:t>
      </w:r>
    </w:p>
    <w:p>
      <w:pPr>
        <w:spacing w:after="80" w:before="0"/>
        <w:ind w:left="320"/>
      </w:pPr>
      <w:r>
        <w:rPr>
          <w:b w:val="false"/>
          <w:bCs w:val="false"/>
          <w:color w:val="333333"/>
          <w:sz w:val="18"/>
          <w:szCs w:val="18"/>
        </w:rPr>
        <w:t xml:space="preserve">Respect du taux de transport fluvial garanti, collaboration aux contrôles par un tiers mandaté, traçabilité complète des déchets et sous-produits, respect des délais spécifiés dans le CCAP. « Transport routier des mâchefers en substitution du transport fluvial dans le respect du taux de transport fluvial garanti par le titulaire » (RC) et « collaboration du titulaire à des contrôles de prestation de traitement par un tiers mandaté par le Syctom » (RC).</w:t>
      </w:r>
    </w:p>
    <w:p>
      <w:pPr>
        <w:spacing w:after="40"/>
      </w:pPr>
    </w:p>
    <w:p>
      <w:pPr>
        <w:shd w:fill="1A4A8F" w:color="auto" w:val="clear"/>
        <w:spacing w:after="100" w:before="280"/>
      </w:pPr>
      <w:r>
        <w:rPr>
          <w:b/>
          <w:bCs/>
          <w:color w:val="FFFFFF"/>
          <w:sz w:val="24"/>
          <w:szCs w:val="24"/>
        </w:rPr>
        <w:t xml:space="preserve">5. Conditions de participation</w:t>
      </w:r>
    </w:p>
    <w:p>
      <w:pPr>
        <w:spacing w:after="20" w:before="100"/>
        <w:ind w:left="160"/>
      </w:pPr>
      <w:r>
        <w:rPr>
          <w:b/>
          <w:bCs/>
          <w:color w:val="1A4A8F"/>
          <w:sz w:val="18"/>
          <w:szCs w:val="18"/>
        </w:rPr>
        <w:t xml:space="preserve">Capacités techniques :</w:t>
      </w:r>
    </w:p>
    <w:p>
      <w:pPr>
        <w:spacing w:after="80" w:before="0"/>
        <w:ind w:left="320"/>
      </w:pPr>
      <w:r>
        <w:rPr>
          <w:b w:val="false"/>
          <w:bCs w:val="false"/>
          <w:color w:val="333333"/>
          <w:sz w:val="18"/>
          <w:szCs w:val="18"/>
        </w:rPr>
        <w:t xml:space="preserve">Description de l'outillage, du matériel et de l'équipement technique pour la réalisation du marché « Une description de l'outillage, du matériel et de l'équipement technique dont le candidat disposera pour la réalisation du marché public » (RC).</w:t>
      </w:r>
    </w:p>
    <w:p>
      <w:pPr>
        <w:spacing w:after="20" w:before="100"/>
        <w:ind w:left="160"/>
      </w:pPr>
      <w:r>
        <w:rPr>
          <w:b/>
          <w:bCs/>
          <w:color w:val="1A4A8F"/>
          <w:sz w:val="18"/>
          <w:szCs w:val="18"/>
        </w:rPr>
        <w:t xml:space="preserve">Références similaires :</w:t>
      </w:r>
    </w:p>
    <w:p>
      <w:pPr>
        <w:spacing w:after="80" w:before="0"/>
        <w:ind w:left="320"/>
      </w:pPr>
      <w:r>
        <w:rPr>
          <w:b w:val="false"/>
          <w:bCs w:val="false"/>
          <w:color w:val="333333"/>
          <w:sz w:val="18"/>
          <w:szCs w:val="18"/>
        </w:rPr>
        <w:t xml:space="preserve">Liste des principales livraisons ou services fournis au cours des trois dernières années « une liste des principales livraisons effectuées ou des principaux services fournis au cours des trois (3) dernières années » (RC).</w:t>
      </w:r>
    </w:p>
    <w:p>
      <w:pPr>
        <w:spacing w:after="20" w:before="100"/>
        <w:ind w:left="160"/>
      </w:pPr>
      <w:r>
        <w:rPr>
          <w:b/>
          <w:bCs/>
          <w:color w:val="1A4A8F"/>
          <w:sz w:val="18"/>
          <w:szCs w:val="18"/>
        </w:rPr>
        <w:t xml:space="preserve">Moyens humains / matériels :</w:t>
      </w:r>
    </w:p>
    <w:p>
      <w:pPr>
        <w:spacing w:after="80" w:before="0"/>
        <w:ind w:left="320"/>
      </w:pPr>
      <w:r>
        <w:rPr>
          <w:b w:val="false"/>
          <w:bCs w:val="false"/>
          <w:color w:val="333333"/>
          <w:sz w:val="18"/>
          <w:szCs w:val="18"/>
        </w:rPr>
        <w:t xml:space="preserve">Déclaration des effectifs moyens annuels et de l'importance du personnel d'encadrement pendant les trois dernières années « Une déclaration indiquant les effectifs moyens annuels du candidat et l'importance du personnel d'encadrement pendant les trois dernières années » (RC).</w:t>
      </w:r>
    </w:p>
    <w:p>
      <w:pPr>
        <w:spacing w:after="20" w:before="100"/>
        <w:ind w:left="160"/>
      </w:pPr>
      <w:r>
        <w:rPr>
          <w:b/>
          <w:bCs/>
          <w:color w:val="1A4A8F"/>
          <w:sz w:val="18"/>
          <w:szCs w:val="18"/>
        </w:rPr>
        <w:t xml:space="preserve">Capacités financières :</w:t>
      </w:r>
    </w:p>
    <w:p>
      <w:pPr>
        <w:spacing w:after="80" w:before="0"/>
        <w:ind w:left="320"/>
      </w:pPr>
      <w:r>
        <w:rPr>
          <w:b w:val="false"/>
          <w:bCs w:val="false"/>
          <w:color w:val="333333"/>
          <w:sz w:val="18"/>
          <w:szCs w:val="18"/>
        </w:rPr>
        <w:t xml:space="preserve">Déclaration concernant le chiffre d'affaires global et le chiffre d'affaires du domaine d'activité sur les trois derniers exercices « Une déclaration concernant le chiffre d'affaires global du candidat et, le cas échéant, le chiffre d'affaires du domaine d'activité faisant l'objet du marché public, portant au maximum sur les trois derniers exercices disponibles » (RC).</w:t>
      </w:r>
    </w:p>
    <w:p>
      <w:pPr>
        <w:spacing w:after="20" w:before="100"/>
        <w:ind w:left="160"/>
      </w:pPr>
      <w:r>
        <w:rPr>
          <w:b/>
          <w:bCs/>
          <w:color w:val="1A4A8F"/>
          <w:sz w:val="18"/>
          <w:szCs w:val="18"/>
        </w:rPr>
        <w:t xml:space="preserve">Assurances obligatoires :</w:t>
      </w:r>
    </w:p>
    <w:p>
      <w:pPr>
        <w:spacing w:after="80" w:before="0"/>
        <w:ind w:left="320"/>
      </w:pPr>
      <w:r>
        <w:rPr>
          <w:b w:val="false"/>
          <w:bCs w:val="false"/>
          <w:color w:val="333333"/>
          <w:sz w:val="18"/>
          <w:szCs w:val="18"/>
        </w:rPr>
        <w:t xml:space="preserve">Souscription d'un contrat d'assurance couvrant la responsabilité civile et professionnelle « Document justifiant de la souscription d'un contrat d'assurance couvrant la responsabilité civile et professionnelle » (Annexe 1).</w:t>
      </w:r>
    </w:p>
    <w:p>
      <w:pPr>
        <w:spacing w:after="20" w:before="100"/>
        <w:ind w:left="160"/>
      </w:pPr>
      <w:r>
        <w:rPr>
          <w:b/>
          <w:bCs/>
          <w:color w:val="1A4A8F"/>
          <w:sz w:val="18"/>
          <w:szCs w:val="18"/>
        </w:rPr>
        <w:t xml:space="preserve">Qualifications / certifications :</w:t>
      </w:r>
    </w:p>
    <w:p>
      <w:pPr>
        <w:spacing w:after="80" w:before="0"/>
        <w:ind w:left="320"/>
      </w:pPr>
      <w:r>
        <w:rPr>
          <w:i/>
          <w:iCs/>
          <w:color w:val="AAAAAA"/>
          <w:sz w:val="18"/>
          <w:szCs w:val="18"/>
        </w:rPr>
        <w:t xml:space="preserve">Non trouvé ou non disponible</w:t>
      </w:r>
    </w:p>
    <w:p>
      <w:pPr>
        <w:spacing w:after="20" w:before="100"/>
        <w:ind w:left="160"/>
      </w:pPr>
      <w:r>
        <w:rPr>
          <w:b/>
          <w:bCs/>
          <w:color w:val="1A4A8F"/>
          <w:sz w:val="18"/>
          <w:szCs w:val="18"/>
        </w:rPr>
        <w:t xml:space="preserve">Motifs d'exclusion :</w:t>
      </w:r>
    </w:p>
    <w:p>
      <w:pPr>
        <w:spacing w:after="80" w:before="0"/>
        <w:ind w:left="320"/>
      </w:pPr>
      <w:r>
        <w:rPr>
          <w:b w:val="false"/>
          <w:bCs w:val="false"/>
          <w:color w:val="333333"/>
          <w:sz w:val="18"/>
          <w:szCs w:val="18"/>
        </w:rPr>
        <w:t xml:space="preserve">Condamnations pénales (participation à une organisation criminelle, corruption, fraude, infraction terroriste, blanchiment de capitaux), manquement aux obligations fiscales et sociales, insolvabilité, conflit d'intérêts, faute professionnelle grave, fausses déclarations. « Motifs d'exclusion à prendre en compte dans le marché » (DUME, Partie III) et « Les candidats ne peuvent se présenter en qualité de candidats individuels et de membres d'un ou plusieurs groupements [...] Les candidatures concernées seront rejetées dans leur ensemble » (RC).</w:t>
      </w:r>
    </w:p>
    <w:p>
      <w:pPr>
        <w:spacing w:after="40"/>
      </w:pPr>
    </w:p>
    <w:p>
      <w:pPr>
        <w:shd w:fill="1A4A8F" w:color="auto" w:val="clear"/>
        <w:spacing w:after="100" w:before="280"/>
      </w:pPr>
      <w:r>
        <w:rPr>
          <w:b/>
          <w:bCs/>
          <w:color w:val="FFFFFF"/>
          <w:sz w:val="24"/>
          <w:szCs w:val="24"/>
        </w:rPr>
        <w:t xml:space="preserve">6. Pièces administratives à fournir</w:t>
      </w:r>
    </w:p>
    <w:p>
      <w:pPr>
        <w:spacing w:after="40" w:before="100"/>
        <w:ind w:left="160"/>
      </w:pPr>
      <w:r>
        <w:rPr>
          <w:b/>
          <w:bCs/>
          <w:color w:val="333333"/>
          <w:sz w:val="18"/>
          <w:szCs w:val="18"/>
        </w:rPr>
        <w:t xml:space="preserve">Candidature :</w:t>
      </w:r>
    </w:p>
    <w:p>
      <w:pPr>
        <w:pStyle w:val="ListParagraph"/>
        <w:numPr>
          <w:ilvl w:val="0"/>
          <w:numId w:val="1"/>
        </w:numPr>
        <w:spacing w:after="40"/>
        <w:ind w:left="480" w:hanging="260"/>
      </w:pPr>
      <w:r>
        <w:rPr>
          <w:color w:val="333333"/>
          <w:sz w:val="18"/>
          <w:szCs w:val="18"/>
        </w:rPr>
        <w:t xml:space="preserve">DUME (Document Unique de Marché Européen) « Document unique de marché européen (DUME) » (RC).</w:t>
      </w:r>
    </w:p>
    <w:p>
      <w:pPr>
        <w:pStyle w:val="ListParagraph"/>
        <w:numPr>
          <w:ilvl w:val="0"/>
          <w:numId w:val="1"/>
        </w:numPr>
        <w:spacing w:after="40"/>
        <w:ind w:left="480" w:hanging="260"/>
      </w:pPr>
      <w:r>
        <w:rPr>
          <w:color w:val="333333"/>
          <w:sz w:val="18"/>
          <w:szCs w:val="18"/>
        </w:rPr>
        <w:t xml:space="preserve">Formulaire de candidature (annexe 3 du RC) « Formulaire de candidature » (RC).</w:t>
      </w:r>
    </w:p>
    <w:p>
      <w:pPr>
        <w:pStyle w:val="ListParagraph"/>
        <w:numPr>
          <w:ilvl w:val="0"/>
          <w:numId w:val="1"/>
        </w:numPr>
        <w:spacing w:after="40"/>
        <w:ind w:left="480" w:hanging="260"/>
      </w:pPr>
      <w:r>
        <w:rPr>
          <w:color w:val="333333"/>
          <w:sz w:val="18"/>
          <w:szCs w:val="18"/>
        </w:rPr>
        <w:t xml:space="preserve">Déclaration de l'OE (annexe 4 du RC) « Déclaration de l'OE » (RC).</w:t>
      </w:r>
    </w:p>
    <w:p>
      <w:pPr>
        <w:pStyle w:val="ListParagraph"/>
        <w:numPr>
          <w:ilvl w:val="0"/>
          <w:numId w:val="1"/>
        </w:numPr>
        <w:spacing w:after="40"/>
        <w:ind w:left="480" w:hanging="260"/>
      </w:pPr>
      <w:r>
        <w:rPr>
          <w:color w:val="333333"/>
          <w:sz w:val="18"/>
          <w:szCs w:val="18"/>
        </w:rPr>
        <w:t xml:space="preserve">Habilitation de la personne ayant pouvoir pour engager l'entreprise « L'habilitation de la personne ayant pouvoir pour engager l'entreprise » (RC).</w:t>
      </w:r>
    </w:p>
    <w:p>
      <w:pPr>
        <w:pStyle w:val="ListParagraph"/>
        <w:numPr>
          <w:ilvl w:val="0"/>
          <w:numId w:val="1"/>
        </w:numPr>
        <w:spacing w:after="40"/>
        <w:ind w:left="480" w:hanging="260"/>
      </w:pPr>
      <w:r>
        <w:rPr>
          <w:color w:val="333333"/>
          <w:sz w:val="18"/>
          <w:szCs w:val="18"/>
        </w:rPr>
        <w:t xml:space="preserve">Déclaration concernant le chiffre d'affaires global et du domaine d'activité (3 derniers exercices) « Une déclaration concernant le chiffre d'affaires global du candidat [...] portant au maximum sur les trois derniers exercices disponibles » (RC).</w:t>
      </w:r>
    </w:p>
    <w:p>
      <w:pPr>
        <w:pStyle w:val="ListParagraph"/>
        <w:numPr>
          <w:ilvl w:val="0"/>
          <w:numId w:val="1"/>
        </w:numPr>
        <w:spacing w:after="40"/>
        <w:ind w:left="480" w:hanging="260"/>
      </w:pPr>
      <w:r>
        <w:rPr>
          <w:color w:val="333333"/>
          <w:sz w:val="18"/>
          <w:szCs w:val="18"/>
        </w:rPr>
        <w:t xml:space="preserve">Déclaration des effectifs moyens annuels et du personnel d'encadrement (3 dernières années) « Une déclaration indiquant les effectifs moyens annuels du candidat et l'importance du personnel d'encadrement pendant les trois dernières années » (RC).</w:t>
      </w:r>
    </w:p>
    <w:p>
      <w:pPr>
        <w:pStyle w:val="ListParagraph"/>
        <w:numPr>
          <w:ilvl w:val="0"/>
          <w:numId w:val="1"/>
        </w:numPr>
        <w:spacing w:after="40"/>
        <w:ind w:left="480" w:hanging="260"/>
      </w:pPr>
      <w:r>
        <w:rPr>
          <w:color w:val="333333"/>
          <w:sz w:val="18"/>
          <w:szCs w:val="18"/>
        </w:rPr>
        <w:t xml:space="preserve">Description de l'outillage, du matériel et de l'équipement technique « Une description de l'outillage, du matériel et de l'équipement technique dont le candidat disposera pour la réalisation du marché public » (RC).</w:t>
      </w:r>
    </w:p>
    <w:p>
      <w:pPr>
        <w:pStyle w:val="ListParagraph"/>
        <w:numPr>
          <w:ilvl w:val="0"/>
          <w:numId w:val="1"/>
        </w:numPr>
        <w:spacing w:after="40"/>
        <w:ind w:left="480" w:hanging="260"/>
      </w:pPr>
      <w:r>
        <w:rPr>
          <w:color w:val="333333"/>
          <w:sz w:val="18"/>
          <w:szCs w:val="18"/>
        </w:rPr>
        <w:t xml:space="preserve">Liste des principales livraisons ou services fournis (3 dernières années) « une liste des principales livraisons effectuées ou des principaux services fournis au cours des trois (3) dernières années » (RC).</w:t>
      </w:r>
    </w:p>
    <w:p>
      <w:pPr>
        <w:pStyle w:val="ListParagraph"/>
        <w:numPr>
          <w:ilvl w:val="0"/>
          <w:numId w:val="1"/>
        </w:numPr>
        <w:spacing w:after="40"/>
        <w:ind w:left="480" w:hanging="260"/>
      </w:pPr>
      <w:r>
        <w:rPr>
          <w:color w:val="333333"/>
          <w:sz w:val="18"/>
          <w:szCs w:val="18"/>
        </w:rPr>
        <w:t xml:space="preserve">Attestations fiscales et sociales (URSSAF, impôts, TVA, etc.) « Certificat attestant la souscription des déclarations et le paiement de l'impôt sur le revenu [...] Certificat attestant que l'opérateur est à jour de ses obligations de déclaration et de paiement des cotisations et contributions de sécurité sociale » (Annexe 1).</w:t>
      </w:r>
    </w:p>
    <w:p>
      <w:pPr>
        <w:pStyle w:val="ListParagraph"/>
        <w:numPr>
          <w:ilvl w:val="0"/>
          <w:numId w:val="1"/>
        </w:numPr>
        <w:spacing w:after="40"/>
        <w:ind w:left="480" w:hanging="260"/>
      </w:pPr>
      <w:r>
        <w:rPr>
          <w:color w:val="333333"/>
          <w:sz w:val="18"/>
          <w:szCs w:val="18"/>
        </w:rPr>
        <w:t xml:space="preserve">Déclaration sur l'honneur pour justifier l'absence de motifs d'exclusion « Une déclaration sur l'honneur pour justifier qu'il n'entre dans aucun des cas mentionnés aux articles des situations mentionnées aux articles L. 2141-1 à L. 2141-11 du Code de la Commande Publique » (Annexe 1).</w:t>
      </w:r>
    </w:p>
    <w:p>
      <w:pPr>
        <w:pStyle w:val="ListParagraph"/>
        <w:numPr>
          <w:ilvl w:val="0"/>
          <w:numId w:val="1"/>
        </w:numPr>
        <w:spacing w:after="40"/>
        <w:ind w:left="480" w:hanging="260"/>
      </w:pPr>
      <w:r>
        <w:rPr>
          <w:color w:val="333333"/>
          <w:sz w:val="18"/>
          <w:szCs w:val="18"/>
        </w:rPr>
        <w:t xml:space="preserve">Certificat de régularité de l'obligation d'emploi des travailleurs handicapés « Certificat attestant la régularité de la situation de l'opérateur au regard de l'obligation d'emploi des travailleurs handicapées » (Annexe 1).</w:t>
      </w:r>
    </w:p>
    <w:p>
      <w:pPr>
        <w:spacing w:after="40" w:before="100"/>
        <w:ind w:left="160"/>
      </w:pPr>
      <w:r>
        <w:rPr>
          <w:b/>
          <w:bCs/>
          <w:color w:val="333333"/>
          <w:sz w:val="18"/>
          <w:szCs w:val="18"/>
        </w:rPr>
        <w:t xml:space="preserve">Offre :</w:t>
      </w:r>
    </w:p>
    <w:p>
      <w:pPr>
        <w:pStyle w:val="ListParagraph"/>
        <w:numPr>
          <w:ilvl w:val="0"/>
          <w:numId w:val="1"/>
        </w:numPr>
        <w:spacing w:after="40"/>
        <w:ind w:left="480" w:hanging="260"/>
      </w:pPr>
      <w:r>
        <w:rPr>
          <w:color w:val="333333"/>
          <w:sz w:val="18"/>
          <w:szCs w:val="18"/>
        </w:rPr>
        <w:t xml:space="preserve">Acte d'engagement (A.E.) et son annexe, le bordereau des prix unitaires (BPU) « L'acte d'engagement et son annexe, le bordereau des prix unitaires (BPU) » (RC).</w:t>
      </w:r>
    </w:p>
    <w:p>
      <w:pPr>
        <w:pStyle w:val="ListParagraph"/>
        <w:numPr>
          <w:ilvl w:val="0"/>
          <w:numId w:val="1"/>
        </w:numPr>
        <w:spacing w:after="40"/>
        <w:ind w:left="480" w:hanging="260"/>
      </w:pPr>
      <w:r>
        <w:rPr>
          <w:color w:val="333333"/>
          <w:sz w:val="18"/>
          <w:szCs w:val="18"/>
        </w:rPr>
        <w:t xml:space="preserve">Formulaire de déclaration de sous-traitance (DST) si applicable « le formulaire de déclaration de sous-traitance (DST) joint au DCE, en cas de sous-traitance de certaines prestations » (RC).</w:t>
      </w:r>
    </w:p>
    <w:p>
      <w:pPr>
        <w:pStyle w:val="ListParagraph"/>
        <w:numPr>
          <w:ilvl w:val="0"/>
          <w:numId w:val="1"/>
        </w:numPr>
        <w:spacing w:after="40"/>
        <w:ind w:left="480" w:hanging="260"/>
      </w:pPr>
      <w:r>
        <w:rPr>
          <w:color w:val="333333"/>
          <w:sz w:val="18"/>
          <w:szCs w:val="18"/>
        </w:rPr>
        <w:t xml:space="preserve">Scénario de consommation (SC) « le scénario de consommation, non contractuel, servant à la comparaison des offres (SC) » (RC).</w:t>
      </w:r>
    </w:p>
    <w:p>
      <w:pPr>
        <w:pStyle w:val="ListParagraph"/>
        <w:numPr>
          <w:ilvl w:val="0"/>
          <w:numId w:val="1"/>
        </w:numPr>
        <w:spacing w:after="40"/>
        <w:ind w:left="480" w:hanging="260"/>
      </w:pPr>
      <w:r>
        <w:rPr>
          <w:color w:val="333333"/>
          <w:sz w:val="18"/>
          <w:szCs w:val="18"/>
        </w:rPr>
        <w:t xml:space="preserve">Sous-détail des prix (non contractuel) « le sous-détail des prix (non contractuel) » (RC).</w:t>
      </w:r>
    </w:p>
    <w:p>
      <w:pPr>
        <w:pStyle w:val="ListParagraph"/>
        <w:numPr>
          <w:ilvl w:val="0"/>
          <w:numId w:val="1"/>
        </w:numPr>
        <w:spacing w:after="40"/>
        <w:ind w:left="480" w:hanging="260"/>
      </w:pPr>
      <w:r>
        <w:rPr>
          <w:color w:val="333333"/>
          <w:sz w:val="18"/>
          <w:szCs w:val="18"/>
        </w:rPr>
        <w:t xml:space="preserve">Mémoire technique et environnemental « Le mémoire technique et environnemental décrivant les dispositions que le candidat se propose d'adopter pour la réalisation des prestations » (RC).</w:t>
      </w:r>
    </w:p>
    <w:p>
      <w:pPr>
        <w:spacing w:after="20" w:before="100"/>
        <w:ind w:left="160"/>
      </w:pPr>
      <w:r>
        <w:rPr>
          <w:b/>
          <w:bCs/>
          <w:color w:val="1A4A8F"/>
          <w:sz w:val="18"/>
          <w:szCs w:val="18"/>
        </w:rPr>
        <w:t xml:space="preserve">Exigences de dépôt :</w:t>
      </w:r>
    </w:p>
    <w:p>
      <w:pPr>
        <w:spacing w:after="80" w:before="0"/>
        <w:ind w:left="320"/>
      </w:pPr>
      <w:r>
        <w:rPr>
          <w:b w:val="false"/>
          <w:bCs w:val="false"/>
          <w:color w:val="333333"/>
          <w:sz w:val="18"/>
          <w:szCs w:val="18"/>
        </w:rPr>
        <w:t xml:space="preserve">Dépôt électronique obligatoire sur la plateforme de dématérialisation, avec copie de sauvegarde possible sur support papier ou numérique. Les offres doivent être rédigées en français et exprimées en euros. « Les plis doivent obligatoirement être reçus sous forme dématérialisée [...] Le pli doit impérativement être déposé sur la plateforme de dématérialisation avant la date et l'heure limites de réception des offres » (RC) et « Les offres des candidats seront entièrement rédigées en langue française et exprimées en EURO » (RC).</w:t>
      </w:r>
    </w:p>
    <w:p>
      <w:pPr>
        <w:spacing w:after="40"/>
      </w:pPr>
    </w:p>
    <w:p>
      <w:pPr>
        <w:shd w:fill="1A4A8F" w:color="auto" w:val="clear"/>
        <w:spacing w:after="100" w:before="280"/>
      </w:pPr>
      <w:r>
        <w:rPr>
          <w:b/>
          <w:bCs/>
          <w:color w:val="FFFFFF"/>
          <w:sz w:val="24"/>
          <w:szCs w:val="24"/>
        </w:rPr>
        <w:t xml:space="preserve">7. Critères de jugement des offres</w:t>
      </w:r>
    </w:p>
    <w:p>
      <w:pPr>
        <w:spacing w:after="40" w:before="100"/>
        <w:ind w:left="160"/>
      </w:pPr>
      <w:r>
        <w:rPr>
          <w:b/>
          <w:bCs/>
          <w:color w:val="333333"/>
          <w:sz w:val="18"/>
          <w:szCs w:val="18"/>
        </w:rPr>
        <w:t xml:space="preserve">Critères :</w:t>
      </w:r>
    </w:p>
    <w:p>
      <w:pPr>
        <w:pStyle w:val="ListParagraph"/>
        <w:numPr>
          <w:ilvl w:val="0"/>
          <w:numId w:val="1"/>
        </w:numPr>
        <w:spacing w:after="40"/>
        <w:ind w:left="480" w:hanging="260"/>
      </w:pPr>
      <w:r>
        <w:rPr>
          <w:color w:val="333333"/>
          <w:sz w:val="18"/>
          <w:szCs w:val="18"/>
        </w:rPr>
        <w:t xml:space="preserve">VALEUR ECONOMIQUE DE L'OFFRE — 58% (Analyse du coût net sur la base du scénario de consommation incluant l'estimation des recettes liées à la vente des métaux par le Syctom « Analyse du coût net sur la base du scénario de consommation incluant l'estimation des recettes liées à la vente des métaux par le Syctom » (RC).)</w:t>
      </w:r>
    </w:p>
    <w:p>
      <w:pPr>
        <w:pStyle w:val="ListParagraph"/>
        <w:numPr>
          <w:ilvl w:val="0"/>
          <w:numId w:val="1"/>
        </w:numPr>
        <w:spacing w:after="40"/>
        <w:ind w:left="480" w:hanging="260"/>
      </w:pPr>
      <w:r>
        <w:rPr>
          <w:color w:val="333333"/>
          <w:sz w:val="18"/>
          <w:szCs w:val="18"/>
        </w:rPr>
        <w:t xml:space="preserve">VALEUR ENVIRONNEMENTALE DE L'OFFRE — 15% (Engagement du taux transport fluvial garanti (5%) « Engagement du taux transport fluvial garanti » (RC)., Suivi et traçabilité des déchets et des sous-produits lors du transport, du traitement, du recyclage et de la valorisation (10%) « Suivi et traçabilité des déchets et des sous-produits lors du transport, du traitement, du recyclage et de la valorisation » (RC).)</w:t>
      </w:r>
    </w:p>
    <w:p>
      <w:pPr>
        <w:pStyle w:val="ListParagraph"/>
        <w:numPr>
          <w:ilvl w:val="0"/>
          <w:numId w:val="1"/>
        </w:numPr>
        <w:spacing w:after="40"/>
        <w:ind w:left="480" w:hanging="260"/>
      </w:pPr>
      <w:r>
        <w:rPr>
          <w:color w:val="333333"/>
          <w:sz w:val="18"/>
          <w:szCs w:val="18"/>
        </w:rPr>
        <w:t xml:space="preserve">VALEUR TECHNIQUE DE L'OFFRE — 27% (Organisation du transport des mâchefers (moyens matériels et humains affectés aux prestations) (10%) « Organisation du transport des mâchefers (moyens matériels et humains affectés aux prestations) » (RC)., Organisation du traitement et de la valorisation des mâchefers (moyens matériels et humains affectés aux prestations) (10%) « Organisation du traitement et de la valorisation des mâchefers (moyens matériels et humains affectés aux prestations) » (RC)., Procédés d'extraction des métaux ferreux et des métaux non ferreux sur IME et procédés de leurs filières de recyclage (5%) « Procédés d'extraction des métaux ferreux et des métaux non ferreux sur IME et procédés de leurs filières de recyclage » (RC)., Démarches de labellisation ou équivalence (2%) « Démarches de labellisation ou équivalence » (RC).)</w:t>
      </w:r>
    </w:p>
    <w:p>
      <w:pPr>
        <w:spacing w:after="20" w:before="100"/>
        <w:ind w:left="160"/>
      </w:pPr>
      <w:r>
        <w:rPr>
          <w:b/>
          <w:bCs/>
          <w:color w:val="1A4A8F"/>
          <w:sz w:val="18"/>
          <w:szCs w:val="18"/>
        </w:rPr>
        <w:t xml:space="preserve">Méthode de notation :</w:t>
      </w:r>
    </w:p>
    <w:p>
      <w:pPr>
        <w:spacing w:after="80" w:before="0"/>
        <w:ind w:left="320"/>
      </w:pPr>
      <w:r>
        <w:rPr>
          <w:b w:val="false"/>
          <w:bCs w:val="false"/>
          <w:color w:val="333333"/>
          <w:sz w:val="18"/>
          <w:szCs w:val="18"/>
        </w:rPr>
        <w:t xml:space="preserve">Notation basée sur un scénario de consommation (SC) pour la valeur économique. En cas d'égalité, le critère le plus fortement pondéré prime, puis l'offre la moins-disante. « Les offres seront appréciées financièrement à l'aide d'un scénario de consommation (SC) [...] En cas d'égalité après application de ces critères [...] le candidat ayant obtenu la meilleure note sur la base du critère le plus fortement pondéré sera classé en première position. En cas de nouvelle égalité, le candidat ayant présenté l'offre la moins-disante sera classé en première position » (RC).</w:t>
      </w:r>
    </w:p>
    <w:p>
      <w:pPr>
        <w:spacing w:after="20" w:before="100"/>
        <w:ind w:left="160"/>
      </w:pPr>
      <w:r>
        <w:rPr>
          <w:b/>
          <w:bCs/>
          <w:color w:val="1A4A8F"/>
          <w:sz w:val="18"/>
          <w:szCs w:val="18"/>
        </w:rPr>
        <w:t xml:space="preserve">Négociation :</w:t>
      </w:r>
    </w:p>
    <w:p>
      <w:pPr>
        <w:spacing w:after="80" w:before="0"/>
        <w:ind w:left="320"/>
      </w:pPr>
      <w:r>
        <w:rPr>
          <w:b w:val="false"/>
          <w:bCs w:val="false"/>
          <w:color w:val="333333"/>
          <w:sz w:val="18"/>
          <w:szCs w:val="18"/>
        </w:rPr>
        <w:t xml:space="preserve">Non prévue « Aucune variante n'est autorisée » (RC).</w:t>
      </w:r>
    </w:p>
    <w:p>
      <w:pPr>
        <w:spacing w:after="40"/>
      </w:pPr>
    </w:p>
    <w:p>
      <w:pPr>
        <w:shd w:fill="1A4A8F" w:color="auto" w:val="clear"/>
        <w:spacing w:after="100" w:before="280"/>
      </w:pPr>
      <w:r>
        <w:rPr>
          <w:b/>
          <w:bCs/>
          <w:color w:val="FFFFFF"/>
          <w:sz w:val="24"/>
          <w:szCs w:val="24"/>
        </w:rPr>
        <w:t xml:space="preserve">8. Éléments financiers et contractuels</w:t>
      </w:r>
    </w:p>
    <w:p>
      <w:pPr>
        <w:spacing w:after="20" w:before="100"/>
        <w:ind w:left="160"/>
      </w:pPr>
      <w:r>
        <w:rPr>
          <w:b/>
          <w:bCs/>
          <w:color w:val="1A4A8F"/>
          <w:sz w:val="18"/>
          <w:szCs w:val="18"/>
        </w:rPr>
        <w:t xml:space="preserve">Budget estimatif :</w:t>
      </w:r>
    </w:p>
    <w:p>
      <w:pPr>
        <w:spacing w:after="80" w:before="0"/>
        <w:ind w:left="320"/>
      </w:pPr>
      <w:r>
        <w:rPr>
          <w:i/>
          <w:iCs/>
          <w:color w:val="AAAAAA"/>
          <w:sz w:val="18"/>
          <w:szCs w:val="18"/>
        </w:rPr>
        <w:t xml:space="preserve">Non trouvé ou non disponible</w:t>
      </w:r>
    </w:p>
    <w:p>
      <w:pPr>
        <w:spacing w:after="20" w:before="100"/>
        <w:ind w:left="160"/>
      </w:pPr>
      <w:r>
        <w:rPr>
          <w:b/>
          <w:bCs/>
          <w:color w:val="1A4A8F"/>
          <w:sz w:val="18"/>
          <w:szCs w:val="18"/>
        </w:rPr>
        <w:t xml:space="preserve">Type de prix :</w:t>
      </w:r>
    </w:p>
    <w:p>
      <w:pPr>
        <w:spacing w:after="80" w:before="0"/>
        <w:ind w:left="320"/>
      </w:pPr>
      <w:r>
        <w:rPr>
          <w:b w:val="false"/>
          <w:bCs w:val="false"/>
          <w:color w:val="333333"/>
          <w:sz w:val="18"/>
          <w:szCs w:val="18"/>
        </w:rPr>
        <w:t xml:space="preserve">Unitaire « bordereau des prix unitaires » (RC).</w:t>
      </w:r>
    </w:p>
    <w:p>
      <w:pPr>
        <w:spacing w:after="20" w:before="100"/>
        <w:ind w:left="160"/>
      </w:pPr>
      <w:r>
        <w:rPr>
          <w:b/>
          <w:bCs/>
          <w:color w:val="1A4A8F"/>
          <w:sz w:val="18"/>
          <w:szCs w:val="18"/>
        </w:rPr>
        <w:t xml:space="preserve">Prix ferme / révisable :</w:t>
      </w:r>
    </w:p>
    <w:p>
      <w:pPr>
        <w:spacing w:after="80" w:before="0"/>
        <w:ind w:left="320"/>
      </w:pPr>
      <w:r>
        <w:rPr>
          <w:b w:val="false"/>
          <w:bCs w:val="false"/>
          <w:color w:val="333333"/>
          <w:sz w:val="18"/>
          <w:szCs w:val="18"/>
        </w:rPr>
        <w:t xml:space="preserve">Non spécifié, mais le scénario de consommation utilise des prix unitaires pour l'analyse financière « Analyse du coût net sur la base du scénario de consommation incluant l'estimation des recettes liées à la vente des métaux par le Syctom » (RC).</w:t>
      </w:r>
    </w:p>
    <w:p>
      <w:pPr>
        <w:spacing w:after="20" w:before="100"/>
        <w:ind w:left="160"/>
      </w:pPr>
      <w:r>
        <w:rPr>
          <w:b/>
          <w:bCs/>
          <w:color w:val="1A4A8F"/>
          <w:sz w:val="18"/>
          <w:szCs w:val="18"/>
        </w:rPr>
        <w:t xml:space="preserve">Avance :</w:t>
      </w:r>
    </w:p>
    <w:p>
      <w:pPr>
        <w:spacing w:after="80" w:before="0"/>
        <w:ind w:left="320"/>
      </w:pPr>
      <w:r>
        <w:rPr>
          <w:b w:val="false"/>
          <w:bCs w:val="false"/>
          <w:color w:val="333333"/>
          <w:sz w:val="18"/>
          <w:szCs w:val="18"/>
        </w:rPr>
        <w:t xml:space="preserve">Prévue conformément à l'article R2191-3 du Code de la Commande Publique « Une avance est prévue dans les formes et conditions posées par l'article R2191-3 du Code de la Commande Publique » (RC).</w:t>
      </w:r>
    </w:p>
    <w:p>
      <w:pPr>
        <w:spacing w:after="20" w:before="100"/>
        <w:ind w:left="160"/>
      </w:pPr>
      <w:r>
        <w:rPr>
          <w:b/>
          <w:bCs/>
          <w:color w:val="1A4A8F"/>
          <w:sz w:val="18"/>
          <w:szCs w:val="18"/>
        </w:rPr>
        <w:t xml:space="preserve">Délais de paiement :</w:t>
      </w:r>
    </w:p>
    <w:p>
      <w:pPr>
        <w:spacing w:after="80" w:before="0"/>
        <w:ind w:left="320"/>
      </w:pPr>
      <w:r>
        <w:rPr>
          <w:b w:val="false"/>
          <w:bCs w:val="false"/>
          <w:color w:val="333333"/>
          <w:sz w:val="18"/>
          <w:szCs w:val="18"/>
        </w:rPr>
        <w:t xml:space="preserve">30 jours à la date certaine de réception des documents comptables « Le délai de paiement est de 30 jours à la date certaine de réception des documents comptables » (RC).</w:t>
      </w:r>
    </w:p>
    <w:p>
      <w:pPr>
        <w:spacing w:after="20" w:before="100"/>
        <w:ind w:left="160"/>
      </w:pPr>
      <w:r>
        <w:rPr>
          <w:b/>
          <w:bCs/>
          <w:color w:val="1A4A8F"/>
          <w:sz w:val="18"/>
          <w:szCs w:val="18"/>
        </w:rPr>
        <w:t xml:space="preserve">Retenue de garantie :</w:t>
      </w:r>
    </w:p>
    <w:p>
      <w:pPr>
        <w:spacing w:after="80" w:before="0"/>
        <w:ind w:left="320"/>
      </w:pPr>
      <w:r>
        <w:rPr>
          <w:i/>
          <w:iCs/>
          <w:color w:val="AAAAAA"/>
          <w:sz w:val="18"/>
          <w:szCs w:val="18"/>
        </w:rPr>
        <w:t xml:space="preserve">Non trouvé ou non disponible</w:t>
      </w:r>
    </w:p>
    <w:p>
      <w:pPr>
        <w:spacing w:after="20" w:before="100"/>
        <w:ind w:left="160"/>
      </w:pPr>
      <w:r>
        <w:rPr>
          <w:b/>
          <w:bCs/>
          <w:color w:val="1A4A8F"/>
          <w:sz w:val="18"/>
          <w:szCs w:val="18"/>
        </w:rPr>
        <w:t xml:space="preserve">Pénalités :</w:t>
      </w:r>
    </w:p>
    <w:p>
      <w:pPr>
        <w:spacing w:after="80" w:before="0"/>
        <w:ind w:left="320"/>
      </w:pPr>
      <w:r>
        <w:rPr>
          <w:i/>
          <w:iCs/>
          <w:color w:val="AAAAAA"/>
          <w:sz w:val="18"/>
          <w:szCs w:val="18"/>
        </w:rPr>
        <w:t xml:space="preserve">Non trouvé ou non disponible</w:t>
      </w:r>
    </w:p>
    <w:p>
      <w:pPr>
        <w:spacing w:after="20" w:before="100"/>
        <w:ind w:left="160"/>
      </w:pPr>
      <w:r>
        <w:rPr>
          <w:b/>
          <w:bCs/>
          <w:color w:val="1A4A8F"/>
          <w:sz w:val="18"/>
          <w:szCs w:val="18"/>
        </w:rPr>
        <w:t xml:space="preserve">Modalités de résiliation :</w:t>
      </w:r>
    </w:p>
    <w:p>
      <w:pPr>
        <w:spacing w:after="80" w:before="0"/>
        <w:ind w:left="320"/>
      </w:pPr>
      <w:r>
        <w:rPr>
          <w:b w:val="false"/>
          <w:bCs w:val="false"/>
          <w:color w:val="333333"/>
          <w:sz w:val="18"/>
          <w:szCs w:val="18"/>
        </w:rPr>
        <w:t xml:space="preserve">Résiliation possible par l'acheteur sans indemnité en cas de non-reconduction « La non-reconduction du marché par l'acheteur n'ouvre pas droit à indemnisation des titulaires » (RC).</w:t>
      </w:r>
    </w:p>
    <w:p>
      <w:pPr>
        <w:spacing w:after="40"/>
      </w:pPr>
    </w:p>
    <w:p>
      <w:pPr>
        <w:shd w:fill="1A4A8F" w:color="auto" w:val="clear"/>
        <w:spacing w:after="100" w:before="280"/>
      </w:pPr>
      <w:r>
        <w:rPr>
          <w:b/>
          <w:bCs/>
          <w:color w:val="FFFFFF"/>
          <w:sz w:val="24"/>
          <w:szCs w:val="24"/>
        </w:rPr>
        <w:t xml:space="preserve">9. Exigences spécifiques d'exécution</w:t>
      </w:r>
    </w:p>
    <w:p>
      <w:pPr>
        <w:spacing w:after="20" w:before="100"/>
        <w:ind w:left="160"/>
      </w:pPr>
      <w:r>
        <w:rPr>
          <w:b/>
          <w:bCs/>
          <w:color w:val="1A4A8F"/>
          <w:sz w:val="18"/>
          <w:szCs w:val="18"/>
        </w:rPr>
        <w:t xml:space="preserve">Normes techniques :</w:t>
      </w:r>
    </w:p>
    <w:p>
      <w:pPr>
        <w:spacing w:after="80" w:before="0"/>
        <w:ind w:left="320"/>
      </w:pPr>
      <w:r>
        <w:rPr>
          <w:b w:val="false"/>
          <w:bCs w:val="false"/>
          <w:color w:val="333333"/>
          <w:sz w:val="18"/>
          <w:szCs w:val="18"/>
        </w:rPr>
        <w:t xml:space="preserve">Respect des analyses sur le comportement à la lixiviation conformément à la réglementation « Réalisation des analyses sur le comportement à la lixiviation conformément à la réglementation » (RC).</w:t>
      </w:r>
    </w:p>
    <w:p>
      <w:pPr>
        <w:spacing w:after="20" w:before="100"/>
        <w:ind w:left="160"/>
      </w:pPr>
      <w:r>
        <w:rPr>
          <w:b/>
          <w:bCs/>
          <w:color w:val="1A4A8F"/>
          <w:sz w:val="18"/>
          <w:szCs w:val="18"/>
        </w:rPr>
        <w:t xml:space="preserve">Normes environnementales :</w:t>
      </w:r>
    </w:p>
    <w:p>
      <w:pPr>
        <w:spacing w:after="80" w:before="0"/>
        <w:ind w:left="320"/>
      </w:pPr>
      <w:r>
        <w:rPr>
          <w:b w:val="false"/>
          <w:bCs w:val="false"/>
          <w:color w:val="333333"/>
          <w:sz w:val="18"/>
          <w:szCs w:val="18"/>
        </w:rPr>
        <w:t xml:space="preserve">Valorisation des mâchefers maturés et élaborés conformément à la réglementation applicable « Valorisation des mâchefers maturés et élaborés conformément à la réglementation applicable » (RC).</w:t>
      </w:r>
    </w:p>
    <w:p>
      <w:pPr>
        <w:spacing w:after="20" w:before="100"/>
        <w:ind w:left="160"/>
      </w:pPr>
      <w:r>
        <w:rPr>
          <w:b/>
          <w:bCs/>
          <w:color w:val="1A4A8F"/>
          <w:sz w:val="18"/>
          <w:szCs w:val="18"/>
        </w:rPr>
        <w:t xml:space="preserve">Clauses sociales :</w:t>
      </w:r>
    </w:p>
    <w:p>
      <w:pPr>
        <w:spacing w:after="80" w:before="0"/>
        <w:ind w:left="320"/>
      </w:pPr>
      <w:r>
        <w:rPr>
          <w:b w:val="false"/>
          <w:bCs w:val="false"/>
          <w:color w:val="333333"/>
          <w:sz w:val="18"/>
          <w:szCs w:val="18"/>
        </w:rPr>
        <w:t xml:space="preserve">Respect des obligations en matière d'emploi des travailleurs handicapés « qu'il est en règle au regard des articles L.5212-1 à L.5212-11 du code du travail concernant l'emploi des travailleurs handicapés » (Annexe 1).</w:t>
      </w:r>
    </w:p>
    <w:p>
      <w:pPr>
        <w:spacing w:after="20" w:before="100"/>
        <w:ind w:left="160"/>
      </w:pPr>
      <w:r>
        <w:rPr>
          <w:b/>
          <w:bCs/>
          <w:color w:val="1A4A8F"/>
          <w:sz w:val="18"/>
          <w:szCs w:val="18"/>
        </w:rPr>
        <w:t xml:space="preserve">RGPD / Confidentialité :</w:t>
      </w:r>
    </w:p>
    <w:p>
      <w:pPr>
        <w:spacing w:after="80" w:before="0"/>
        <w:ind w:left="320"/>
      </w:pPr>
      <w:r>
        <w:rPr>
          <w:i/>
          <w:iCs/>
          <w:color w:val="AAAAAA"/>
          <w:sz w:val="18"/>
          <w:szCs w:val="18"/>
        </w:rPr>
        <w:t xml:space="preserve">Non trouvé ou non disponible</w:t>
      </w:r>
    </w:p>
    <w:p>
      <w:pPr>
        <w:spacing w:after="20" w:before="100"/>
        <w:ind w:left="160"/>
      </w:pPr>
      <w:r>
        <w:rPr>
          <w:b/>
          <w:bCs/>
          <w:color w:val="1A4A8F"/>
          <w:sz w:val="18"/>
          <w:szCs w:val="18"/>
        </w:rPr>
        <w:t xml:space="preserve">Obligations de performance :</w:t>
      </w:r>
    </w:p>
    <w:p>
      <w:pPr>
        <w:spacing w:after="80" w:before="0"/>
        <w:ind w:left="320"/>
      </w:pPr>
      <w:r>
        <w:rPr>
          <w:b w:val="false"/>
          <w:bCs w:val="false"/>
          <w:color w:val="333333"/>
          <w:sz w:val="18"/>
          <w:szCs w:val="18"/>
        </w:rPr>
        <w:t xml:space="preserve">Traçabilité complète du transport, du traitement et de la valorisation des mâchefers, collaboration aux contrôles par un tiers mandaté. « La traçabilité du transport, du traitement et de valorisation des mâchefers [...] collaboration du titulaire à des contrôles de prestation de traitement par un tiers mandaté par le Syctom » (RC).</w:t>
      </w:r>
    </w:p>
    <w:p>
      <w:pPr>
        <w:spacing w:after="40"/>
      </w:pPr>
    </w:p>
    <w:p>
      <w:pPr>
        <w:shd w:fill="1A4A8F" w:color="auto" w:val="clear"/>
        <w:spacing w:after="100" w:before="280"/>
      </w:pPr>
      <w:r>
        <w:rPr>
          <w:b/>
          <w:bCs/>
          <w:color w:val="FFFFFF"/>
          <w:sz w:val="24"/>
          <w:szCs w:val="24"/>
        </w:rPr>
        <w:t xml:space="preserve">10. Organisation de la réponse</w:t>
      </w:r>
    </w:p>
    <w:p>
      <w:pPr>
        <w:spacing w:after="20" w:before="100"/>
        <w:ind w:left="160"/>
      </w:pPr>
      <w:r>
        <w:rPr>
          <w:b/>
          <w:bCs/>
          <w:color w:val="1A4A8F"/>
          <w:sz w:val="18"/>
          <w:szCs w:val="18"/>
        </w:rPr>
        <w:t xml:space="preserve">Délai global :</w:t>
      </w:r>
    </w:p>
    <w:p>
      <w:pPr>
        <w:spacing w:after="80" w:before="0"/>
        <w:ind w:left="320"/>
      </w:pPr>
      <w:r>
        <w:rPr>
          <w:b w:val="false"/>
          <w:bCs w:val="false"/>
          <w:color w:val="333333"/>
          <w:sz w:val="18"/>
          <w:szCs w:val="18"/>
        </w:rPr>
        <w:t xml:space="preserve">36 jours à partir de la date de publication (01/06/2026) pour préparer et déposer l'offre.</w:t>
      </w:r>
    </w:p>
    <w:p>
      <w:pPr>
        <w:spacing w:after="20" w:before="100"/>
        <w:ind w:left="160"/>
      </w:pPr>
      <w:r>
        <w:rPr>
          <w:b/>
          <w:bCs/>
          <w:color w:val="1A4A8F"/>
          <w:sz w:val="18"/>
          <w:szCs w:val="18"/>
        </w:rPr>
        <w:t xml:space="preserve">Charge mémoire technique :</w:t>
      </w:r>
    </w:p>
    <w:p>
      <w:pPr>
        <w:spacing w:after="80" w:before="0"/>
        <w:ind w:left="320"/>
      </w:pPr>
      <w:r>
        <w:rPr>
          <w:b w:val="false"/>
          <w:bCs w:val="false"/>
          <w:color w:val="333333"/>
          <w:sz w:val="18"/>
          <w:szCs w:val="18"/>
        </w:rPr>
        <w:t xml:space="preserve">Mémoire technique et environnemental détaillé, pièce contractuelle dont l'absence entraîne l'irrégularité de l'offre « Le mémoire technique et environnemental décrivant les dispositions que le candidat se propose d'adopter pour la réalisation des prestations [...] Toute absence d'information exigée au titre de la présente consultation entraîne l'irrégularité de l'offre du candidat » (RC).</w:t>
      </w:r>
    </w:p>
    <w:p>
      <w:pPr>
        <w:spacing w:after="20" w:before="100"/>
        <w:ind w:left="160"/>
      </w:pPr>
      <w:r>
        <w:rPr>
          <w:b/>
          <w:bCs/>
          <w:color w:val="1A4A8F"/>
          <w:sz w:val="18"/>
          <w:szCs w:val="18"/>
        </w:rPr>
        <w:t xml:space="preserve">Complexité administrative :</w:t>
      </w:r>
    </w:p>
    <w:p>
      <w:pPr>
        <w:spacing w:after="80" w:before="0"/>
        <w:ind w:left="320"/>
      </w:pPr>
      <w:r>
        <w:rPr>
          <w:b w:val="false"/>
          <w:bCs w:val="false"/>
          <w:color w:val="333333"/>
          <w:sz w:val="18"/>
          <w:szCs w:val="18"/>
        </w:rPr>
        <w:t xml:space="preserve">Dossier complet avec nombreuses pièces administratives (DUME, formulaires, attestations fiscales et sociales, assurances, références, etc.). Dépôt électronique obligatoire avec copie de sauvegarde possible. « Les candidats auront à produire un dossier complet comprenant les pièces ci-dessous » (RC).</w:t>
      </w:r>
    </w:p>
    <w:p>
      <w:pPr>
        <w:spacing w:after="20" w:before="100"/>
        <w:ind w:left="160"/>
      </w:pPr>
      <w:r>
        <w:rPr>
          <w:b/>
          <w:bCs/>
          <w:color w:val="1A4A8F"/>
          <w:sz w:val="18"/>
          <w:szCs w:val="18"/>
        </w:rPr>
        <w:t xml:space="preserve">Sous-traitance / co-traitance :</w:t>
      </w:r>
    </w:p>
    <w:p>
      <w:pPr>
        <w:spacing w:after="80" w:before="0"/>
        <w:ind w:left="320"/>
      </w:pPr>
      <w:r>
        <w:rPr>
          <w:b w:val="false"/>
          <w:bCs w:val="false"/>
          <w:color w:val="333333"/>
          <w:sz w:val="18"/>
          <w:szCs w:val="18"/>
        </w:rPr>
        <w:t xml:space="preserve">Sous-traitance autorisée sous réserve de déclaration. Cotraitance possible (groupement solidaire ou conjoint) avec interdiction de se présenter à la fois en candidat individuel et en groupement. « Le groupement peut être un groupement solidaire ou un groupement conjoint [...] les candidats ne peuvent se présenter en qualité de candidats individuels et de membres d'un ou plusieurs groupements [...] Les candidatures concernées seront rejetées dans leur ensemble » (RC).</w:t>
      </w:r>
    </w:p>
    <w:p>
      <w:pPr>
        <w:spacing w:after="40"/>
      </w:pPr>
    </w:p>
    <w:p>
      <w:pPr>
        <w:shd w:fill="1A4A8F" w:color="auto" w:val="clear"/>
        <w:spacing w:after="100" w:before="280"/>
      </w:pPr>
      <w:r>
        <w:rPr>
          <w:b/>
          <w:bCs/>
          <w:color w:val="FFFFFF"/>
          <w:sz w:val="24"/>
          <w:szCs w:val="24"/>
        </w:rPr>
        <w:t xml:space="preserve">11. Points bloquants potentiels</w:t>
      </w:r>
    </w:p>
    <w:p>
      <w:pPr>
        <w:pStyle w:val="ListParagraph"/>
        <w:numPr>
          <w:ilvl w:val="0"/>
          <w:numId w:val="1"/>
        </w:numPr>
        <w:spacing w:after="40"/>
        <w:ind w:left="480" w:hanging="260"/>
      </w:pPr>
      <w:r>
        <w:rPr>
          <w:color w:val="333333"/>
          <w:sz w:val="18"/>
          <w:szCs w:val="18"/>
        </w:rPr>
        <w:t xml:space="preserve">Respect strict du taux de transport fluvial garanti, critère environnemental pondéré à 5%. [technique et environnemental]</w:t>
      </w:r>
    </w:p>
    <w:p>
      <w:pPr>
        <w:pStyle w:val="ListParagraph"/>
        <w:numPr>
          <w:ilvl w:val="0"/>
          <w:numId w:val="1"/>
        </w:numPr>
        <w:spacing w:after="40"/>
        <w:ind w:left="480" w:hanging="260"/>
      </w:pPr>
      <w:r>
        <w:rPr>
          <w:color w:val="333333"/>
          <w:sz w:val="18"/>
          <w:szCs w:val="18"/>
        </w:rPr>
        <w:t xml:space="preserve">Traçabilité complète et collaboration aux contrôles par un tiers mandaté, critère environnemental pondéré à 10%. [technique et environnemental]</w:t>
      </w:r>
    </w:p>
    <w:p>
      <w:pPr>
        <w:pStyle w:val="ListParagraph"/>
        <w:numPr>
          <w:ilvl w:val="0"/>
          <w:numId w:val="1"/>
        </w:numPr>
        <w:spacing w:after="40"/>
        <w:ind w:left="480" w:hanging="260"/>
      </w:pPr>
      <w:r>
        <w:rPr>
          <w:color w:val="333333"/>
          <w:sz w:val="18"/>
          <w:szCs w:val="18"/>
        </w:rPr>
        <w:t xml:space="preserve">Dépôt électronique obligatoire sans possibilité de régularisation a posteriori pour les pièces manquantes. « Les plis doivent obligatoirement être reçus sous forme dématérialisée » (RC). [administratif]</w:t>
      </w:r>
    </w:p>
    <w:p>
      <w:pPr>
        <w:pStyle w:val="ListParagraph"/>
        <w:numPr>
          <w:ilvl w:val="0"/>
          <w:numId w:val="1"/>
        </w:numPr>
        <w:spacing w:after="40"/>
        <w:ind w:left="480" w:hanging="260"/>
      </w:pPr>
      <w:r>
        <w:rPr>
          <w:color w:val="333333"/>
          <w:sz w:val="18"/>
          <w:szCs w:val="18"/>
        </w:rPr>
        <w:t xml:space="preserve">Production de nombreuses attestations fiscales et sociales (URSSAF, impôts, TVA, etc.) pour le candidat pressenti, avec un délai de 8 jours maximum. « Le délai imparti par l'acheteur à l'attributaire pour remettre ces documents sera indiqué dans le courrier ou courriel envoyé à celui-ci ; ce délai ne pourra être supérieur à 8 jours » (RC). [administratif]</w:t>
      </w:r>
    </w:p>
    <w:p>
      <w:pPr>
        <w:pStyle w:val="ListParagraph"/>
        <w:numPr>
          <w:ilvl w:val="0"/>
          <w:numId w:val="1"/>
        </w:numPr>
        <w:spacing w:after="40"/>
        <w:ind w:left="480" w:hanging="260"/>
      </w:pPr>
      <w:r>
        <w:rPr>
          <w:color w:val="333333"/>
          <w:sz w:val="18"/>
          <w:szCs w:val="18"/>
        </w:rPr>
        <w:t xml:space="preserve">Interdiction de se présenter à la fois en candidat individuel et en groupement, sous peine de rejet de toutes les candidatures. « les candidats ne peuvent se présenter en qualité de candidats individuels et de membres d'un ou plusieurs groupements [...] Les candidatures concernées seront rejetées dans leur ensemble » (RC). [administratif]</w:t>
      </w:r>
    </w:p>
    <w:p>
      <w:pPr>
        <w:spacing w:after="40"/>
      </w:pPr>
    </w:p>
    <w:p>
      <w:pPr>
        <w:shd w:fill="1A4A8F" w:color="auto" w:val="clear"/>
        <w:spacing w:after="100" w:before="280"/>
      </w:pPr>
      <w:r>
        <w:rPr>
          <w:b/>
          <w:bCs/>
          <w:color w:val="FFFFFF"/>
          <w:sz w:val="24"/>
          <w:szCs w:val="24"/>
        </w:rPr>
        <w:t xml:space="preserve">12. Opportunité et stratégie</w:t>
      </w:r>
    </w:p>
    <w:p>
      <w:pPr>
        <w:spacing w:after="20" w:before="100"/>
        <w:ind w:left="160"/>
      </w:pPr>
      <w:r>
        <w:rPr>
          <w:b/>
          <w:bCs/>
          <w:color w:val="1A4A8F"/>
          <w:sz w:val="18"/>
          <w:szCs w:val="18"/>
        </w:rPr>
        <w:t xml:space="preserve">Entrée chez ce client :</w:t>
      </w:r>
    </w:p>
    <w:p>
      <w:pPr>
        <w:spacing w:after="80" w:before="0"/>
        <w:ind w:left="320"/>
      </w:pPr>
      <w:r>
        <w:rPr>
          <w:b w:val="false"/>
          <w:bCs w:val="false"/>
          <w:color w:val="333333"/>
          <w:sz w:val="18"/>
          <w:szCs w:val="18"/>
        </w:rPr>
        <w:t xml:space="preserve">Opportunité d'entrée chez le SYCTOM, acteur majeur de la gestion des déchets en Île-de-France, avec un accord-cadre multi-attributaires (3 titulaires maximum).</w:t>
      </w:r>
    </w:p>
    <w:p>
      <w:pPr>
        <w:spacing w:after="20" w:before="100"/>
        <w:ind w:left="160"/>
      </w:pPr>
      <w:r>
        <w:rPr>
          <w:b/>
          <w:bCs/>
          <w:color w:val="1A4A8F"/>
          <w:sz w:val="18"/>
          <w:szCs w:val="18"/>
        </w:rPr>
        <w:t xml:space="preserve">Marché reconductible :</w:t>
      </w:r>
    </w:p>
    <w:p>
      <w:pPr>
        <w:spacing w:after="80" w:before="0"/>
        <w:ind w:left="320"/>
      </w:pPr>
      <w:r>
        <w:rPr>
          <w:b w:val="false"/>
          <w:bCs w:val="false"/>
          <w:color w:val="333333"/>
          <w:sz w:val="18"/>
          <w:szCs w:val="18"/>
        </w:rPr>
        <w:t xml:space="preserve">Marché reconductible jusqu'à 3 fois (durée maximale de 4 ans), offrant une visibilité à moyen terme. « L'accord-cadre sera conclu pour une durée ferme de 1 an reconductible au maximum 3 fois par période de 1 an » (RC).</w:t>
      </w:r>
    </w:p>
    <w:p>
      <w:pPr>
        <w:spacing w:after="20" w:before="100"/>
        <w:ind w:left="160"/>
      </w:pPr>
      <w:r>
        <w:rPr>
          <w:b/>
          <w:bCs/>
          <w:color w:val="1A4A8F"/>
          <w:sz w:val="18"/>
          <w:szCs w:val="18"/>
        </w:rPr>
        <w:t xml:space="preserve">Tremplin :</w:t>
      </w:r>
    </w:p>
    <w:p>
      <w:pPr>
        <w:spacing w:after="80" w:before="0"/>
        <w:ind w:left="320"/>
      </w:pPr>
      <w:r>
        <w:rPr>
          <w:b w:val="false"/>
          <w:bCs w:val="false"/>
          <w:color w:val="333333"/>
          <w:sz w:val="18"/>
          <w:szCs w:val="18"/>
        </w:rPr>
        <w:t xml:space="preserve">Possibilité de développer une expertise reconnue dans le traitement et la valorisation des mâchefers, secteur en croissance avec des enjeux environnementaux forts. Marché potentiellement extensible via des prestations supplémentaires éventuelles (PSE) ou des marchés négociés sans publicité. « L'acheteur se réserve le droit de recourir à un marché négocié sans publicité ni mise en concurrence préalable pour la réalisation de prestations similaires » (RC).</w:t>
      </w:r>
    </w:p>
    <w:p>
      <w:pPr>
        <w:spacing w:after="20" w:before="100"/>
        <w:ind w:left="160"/>
      </w:pPr>
      <w:r>
        <w:rPr>
          <w:b/>
          <w:bCs/>
          <w:color w:val="1A4A8F"/>
          <w:sz w:val="18"/>
          <w:szCs w:val="18"/>
        </w:rPr>
        <w:t xml:space="preserve">Adéquation cœur d'activité :</w:t>
      </w:r>
    </w:p>
    <w:p>
      <w:pPr>
        <w:spacing w:after="80" w:before="0"/>
        <w:ind w:left="320"/>
      </w:pPr>
      <w:r>
        <w:rPr>
          <w:b w:val="false"/>
          <w:bCs w:val="false"/>
          <w:color w:val="333333"/>
          <w:sz w:val="18"/>
          <w:szCs w:val="18"/>
        </w:rPr>
        <w:t xml:space="preserve">Adapté aux entreprises spécialisées dans le transport fluvial et routier, le traitement des déchets, l'extraction et la valorisation des métaux, ainsi que la traçabilité environnementale.</w:t>
      </w:r>
    </w:p>
    <w:p>
      <w:pPr>
        <w:spacing w:after="40"/>
      </w:pPr>
    </w:p>
    <w:p>
      <w:pPr>
        <w:shd w:fill="1A4A8F" w:color="auto" w:val="clear"/>
        <w:spacing w:after="100" w:before="280"/>
      </w:pPr>
      <w:r>
        <w:rPr>
          <w:b/>
          <w:bCs/>
          <w:color w:val="FFFFFF"/>
          <w:sz w:val="24"/>
          <w:szCs w:val="24"/>
        </w:rPr>
        <w:t xml:space="preserve">13. Parties prenantes</w:t>
      </w:r>
    </w:p>
    <w:p>
      <w:pPr>
        <w:pStyle w:val="ListParagraph"/>
        <w:numPr>
          <w:ilvl w:val="0"/>
          <w:numId w:val="1"/>
        </w:numPr>
        <w:spacing w:after="40"/>
        <w:ind w:left="480" w:hanging="260"/>
      </w:pPr>
      <w:r>
        <w:rPr>
          <w:color w:val="333333"/>
          <w:sz w:val="18"/>
          <w:szCs w:val="18"/>
        </w:rPr>
        <w:t xml:space="preserve">Maître d'ouvrage — SYCTOM, Agence métropolitaine des déchets ménagers (marchespublics@syctom-paris.fr, Téléphone : 01 40 13 17 00, Profil acheteur : http://www.maximilien.fr/, Adresse : 86, rue Regnault, 75013 PARIS)</w:t>
      </w:r>
    </w:p>
    <w:p>
      <w:pPr>
        <w:pStyle w:val="ListParagraph"/>
        <w:numPr>
          <w:ilvl w:val="0"/>
          <w:numId w:val="1"/>
        </w:numPr>
        <w:spacing w:after="40"/>
        <w:ind w:left="480" w:hanging="260"/>
      </w:pPr>
      <w:r>
        <w:rPr>
          <w:color w:val="333333"/>
          <w:sz w:val="18"/>
          <w:szCs w:val="18"/>
        </w:rPr>
        <w:t xml:space="preserve">Contact pour les visites facultatives — Non spécifié (service DGAEVD) (crespin@sytom-paris.fr, secretariatdgaevd@sytom-paris.fr copie : lerasle@sytom-paris.fr)</w:t>
      </w:r>
    </w:p>
    <w:p>
      <w:pPr>
        <w:spacing w:after="40"/>
      </w:pPr>
    </w:p>
    <w:p>
      <w:pPr>
        <w:spacing w:before="200"/>
        <w:jc w:val="center"/>
      </w:pPr>
      <w:r>
        <w:rPr>
          <w:i/>
          <w:iCs/>
          <w:color w:val="999999"/>
          <w:sz w:val="16"/>
          <w:szCs w:val="16"/>
        </w:rPr>
        <w:t xml:space="preserve">Analyse générée automatiquement par Deepbloo IA · 01/06/2026</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2026-06-01T20:58:54.136Z</dcterms:created>
  <dcterms:modified xsi:type="dcterms:W3CDTF">2026-06-01T20:58:54.136Z</dcterms:modified>
</cp:coreProperties>
</file>

<file path=docProps/custom.xml><?xml version="1.0" encoding="utf-8"?>
<Properties xmlns="http://schemas.openxmlformats.org/officeDocument/2006/custom-properties" xmlns:vt="http://schemas.openxmlformats.org/officeDocument/2006/docPropsVTypes"/>
</file>